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附表1：</w:t>
      </w:r>
    </w:p>
    <w:p>
      <w:pPr>
        <w:snapToGrid w:val="0"/>
        <w:spacing w:line="336" w:lineRule="auto"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台州职业技术学院</w:t>
      </w:r>
      <w:r>
        <w:rPr>
          <w:rFonts w:hint="eastAsia" w:ascii="黑体" w:eastAsia="黑体"/>
          <w:b/>
          <w:bCs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年进人计划一览表</w:t>
      </w:r>
    </w:p>
    <w:p>
      <w:pPr>
        <w:adjustRightInd w:val="0"/>
        <w:snapToGrid w:val="0"/>
        <w:spacing w:line="120" w:lineRule="auto"/>
        <w:jc w:val="center"/>
        <w:rPr>
          <w:rFonts w:ascii="黑体" w:eastAsia="黑体"/>
          <w:sz w:val="24"/>
        </w:rPr>
      </w:pPr>
    </w:p>
    <w:tbl>
      <w:tblPr>
        <w:tblStyle w:val="2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85"/>
        <w:gridCol w:w="1134"/>
        <w:gridCol w:w="3119"/>
        <w:gridCol w:w="1276"/>
        <w:gridCol w:w="425"/>
        <w:gridCol w:w="1417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学历专业要求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学历和职称要求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二级学院联系人及电话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模具设计与制造专业教学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机械制造及其自动化、机械设计及理论、材料加工工程、材料学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汪老师0576-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数控技术专业教学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机械制造及其自动化、机械电子工程、机械设计及理论、精密仪器及机械、流体机械及工程、检测技术与自动化装置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机电一体化技术（工业制造工程）专业教学1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一级学科：力学、机械工程、仪器科学与技术、材料科学与工程、冶金工程、动力工程及工程热物理、电气工程、电子科学与技术、控制科学与工程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35周岁以下；2018年1月1日以后取得博士学位。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机电一体化技术（工业制造工程）专业教学2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一级学科：力学、机械工程、仪器科学与技术、材料科学与工程、冶金工程、动力工程及工程热物理、电气工程、电子科学与技术、控制科学与工程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全日制硕士研究生及以上学历或具有机械电气类副高及以上职称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工业机器人技术专业教学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机械制造及其自动化、机械电子工程、检测技术与自动化装置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信息技术工程学院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计算机专业群教学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一级学科：计算机科学与技术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李老师0576-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建筑工程技术专业教学1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黄老师0576-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建筑工程技术专业教学2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岩土工程、结构工程、桥梁与隧道工程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建设工程管理专业教学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一级学科：管理科学与工程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全日制硕士研究生及以上学历，或本科学历具有副高及以上职称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研究方向与工程管理、房地产开发与管理、工程造价相关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护理专业教学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人体解剖与组织胚胎学、免疫学、病原生物学、病理学与病理生理学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彭老师0576-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药品生产技术专业教学1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化学工程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药品生产技术专业教学2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药剂学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药品生产技术专业教学3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有机化学、化学工艺、应用化学、工业催化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博士研究方向与药物合成相关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药品生产技术专业教学4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一级学科：化学工程与技术、药学、基础医学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35周岁以下；2018年1月1日以后取得博士学位。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工商企业管理专业教学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国际贸易实务专业教学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世界经济、西方经济学、产业经济学、国际贸易学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市场营销专业教学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电子商务专业教学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一级学科：管理科学与工程、工商管理、计算机科学与技术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擅长数据分析、数字媒体、社交媒体工作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教学秘书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一级学科：哲学，法学，政治学，社会学，马克思主义理论，教育学，心理学，中国语言文学，新闻传播学，艺术学，公共管理，图书馆、情报与档案管理，计算机科学与技术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杨老师0576-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思政教学1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政治学理论、科学社会主义与国际共产主义运动、国际政治、国际关系、中共党史、马克思主义基本原理、马克思主义发展史、马克思主义中国化研究、思想政治教育、中国近现代史基本问题研究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思政教学2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区域经济学、产业经济学、社会学（社会治理、生态文明方向）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思政教学3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马克思主义哲学、中国哲学、政治学理论、中外政治制度、科学社会主义与国际共产主义运动、中共党史、国际政治、国际关系、马克思主义基本原理、马克思主义发展史、马克思主义中国化研究、国外马克思主义研究、思想政治教育、中国近现代史基本问题研究、中国近现代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军事理论专业教学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一级学科：军事学；或二级学科：政治学理论、中外政治制度、中共党史、马克思主义基本原理、马克思主义发展史、马克思主义中国化研究、思想政治教育、中国近现代史基本问题研究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体育教学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一级学科：体育学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就业指导教学1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就业指导教学2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中文专业教学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一级学科：中国语言文学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汽车检测与维修技术专业教学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机械设计及理论、车辆工程、动力机械及工程、电机与电器、电工理论与新技术、电路与系统、微电子学与固体电子学、控制理论与控制工程、检测技术与自动化装置、系统工程、模式识别与智能系统、导航、制导与控制、载运工具运用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郑老师</w:t>
            </w: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br w:type="textWrapping"/>
            </w: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0576-</w:t>
            </w: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br w:type="textWrapping"/>
            </w: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汽车制造与装配技术专业教学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机械制造及其自动化、机械电子工程、机械设计及理论、车辆工程、动力机械及工程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汽车营销与服务专业教学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机械设计及理论、车辆工程、动力机械及工程、电机与电器、电工理论与新技术、电路与系统、微电子学与固体电子学、控制理论与控制工程、检测技术与自动化装置、系统工程、模式识别与智能系统、载运工具运用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中德学院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智能制造专业带头人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机械设计及理论、精密仪器及机械、材料物理与化学、材料学、材料加工工程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博士研究生或本科及以上学历且具有正高职称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　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毛老师0576-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default" w:cs="Tahoma" w:asciiTheme="majorEastAsia" w:hAnsiTheme="majorEastAsia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智能制造理实一体化教师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机械制造及其自动化、机械电子工程、机械设计及理论、精密仪器及机械、材料物理与化学、材料学、材料加工工程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全日制硕士研究生及以上学历或本科学历且具有副高及以上职称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需具有2年及以上相关专业工作经历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注：学历专业要求，除明确说明一级学科外，均指二级学科。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0D1E"/>
    <w:rsid w:val="0157179A"/>
    <w:rsid w:val="1D3378ED"/>
    <w:rsid w:val="4A780D1E"/>
    <w:rsid w:val="7140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2020-04-22T08:23:00Z</dcterms:created>
  <dc:creator>杨羽枫</dc:creator>
  <cp:lastModifiedBy>lenovo</cp:lastModifiedBy>
  <dcterms:modified xsi:type="dcterms:W3CDTF">2020-04-23T01:20:52Z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